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34F" w:rsidRDefault="00B2634F"/>
    <w:p w:rsidR="007307F4" w:rsidRDefault="007307F4"/>
    <w:p w:rsidR="007307F4" w:rsidRPr="007729C3" w:rsidRDefault="007307F4" w:rsidP="007307F4">
      <w:pPr>
        <w:pStyle w:val="Descripcin"/>
        <w:rPr>
          <w:rFonts w:ascii="Times New Roman" w:hAnsi="Times New Roman"/>
          <w:color w:val="auto"/>
          <w:sz w:val="24"/>
          <w:szCs w:val="24"/>
          <w:lang w:val="es-ES_tradnl" w:eastAsia="es-ES"/>
        </w:rPr>
      </w:pPr>
      <w:bookmarkStart w:id="0" w:name="_Toc531315240"/>
      <w:r w:rsidRPr="009505C1">
        <w:rPr>
          <w:rFonts w:ascii="Times New Roman" w:hAnsi="Times New Roman"/>
          <w:color w:val="auto"/>
          <w:sz w:val="22"/>
          <w:szCs w:val="22"/>
        </w:rPr>
        <w:t xml:space="preserve">Tabla </w:t>
      </w:r>
      <w:r w:rsidRPr="009505C1">
        <w:rPr>
          <w:rFonts w:ascii="Times New Roman" w:hAnsi="Times New Roman"/>
          <w:color w:val="auto"/>
          <w:sz w:val="22"/>
          <w:szCs w:val="22"/>
        </w:rPr>
        <w:fldChar w:fldCharType="begin"/>
      </w:r>
      <w:r w:rsidRPr="009505C1">
        <w:rPr>
          <w:rFonts w:ascii="Times New Roman" w:hAnsi="Times New Roman"/>
          <w:color w:val="auto"/>
          <w:sz w:val="22"/>
          <w:szCs w:val="22"/>
        </w:rPr>
        <w:instrText xml:space="preserve"> SEQ Tabla \* ARABIC </w:instrText>
      </w:r>
      <w:r w:rsidRPr="009505C1">
        <w:rPr>
          <w:rFonts w:ascii="Times New Roman" w:hAnsi="Times New Roman"/>
          <w:color w:val="auto"/>
          <w:sz w:val="22"/>
          <w:szCs w:val="22"/>
        </w:rPr>
        <w:fldChar w:fldCharType="separate"/>
      </w:r>
      <w:r>
        <w:rPr>
          <w:rFonts w:ascii="Times New Roman" w:hAnsi="Times New Roman"/>
          <w:noProof/>
          <w:color w:val="auto"/>
          <w:sz w:val="22"/>
          <w:szCs w:val="22"/>
        </w:rPr>
        <w:t>1</w:t>
      </w:r>
      <w:r w:rsidRPr="009505C1">
        <w:rPr>
          <w:rFonts w:ascii="Times New Roman" w:hAnsi="Times New Roman"/>
          <w:color w:val="auto"/>
          <w:sz w:val="22"/>
          <w:szCs w:val="22"/>
        </w:rPr>
        <w:fldChar w:fldCharType="end"/>
      </w:r>
      <w:r w:rsidRPr="009505C1">
        <w:rPr>
          <w:rFonts w:ascii="Times New Roman" w:hAnsi="Times New Roman"/>
          <w:color w:val="auto"/>
          <w:sz w:val="22"/>
          <w:szCs w:val="22"/>
        </w:rPr>
        <w:t>. Análisis de procesos, metodología opciones prioritarias</w:t>
      </w:r>
      <w:r w:rsidRPr="007729C3">
        <w:rPr>
          <w:rFonts w:ascii="Times New Roman" w:hAnsi="Times New Roman"/>
          <w:sz w:val="24"/>
          <w:szCs w:val="24"/>
        </w:rPr>
        <w:t>.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2124"/>
        <w:gridCol w:w="3122"/>
        <w:gridCol w:w="850"/>
        <w:gridCol w:w="707"/>
        <w:gridCol w:w="707"/>
        <w:gridCol w:w="3361"/>
      </w:tblGrid>
      <w:tr w:rsidR="007307F4" w:rsidRPr="009505C1" w:rsidTr="00A01DB5">
        <w:trPr>
          <w:trHeight w:val="440"/>
          <w:tblHeader/>
        </w:trPr>
        <w:tc>
          <w:tcPr>
            <w:tcW w:w="817" w:type="pct"/>
            <w:shd w:val="clear" w:color="auto" w:fill="D9E2F3" w:themeFill="accent1" w:themeFillTint="33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s-ES_tradnl" w:eastAsia="es-ES"/>
              </w:rPr>
            </w:pPr>
            <w:r w:rsidRPr="009505C1">
              <w:rPr>
                <w:rFonts w:ascii="Times New Roman" w:hAnsi="Times New Roman"/>
                <w:b/>
                <w:lang w:val="es-ES_tradnl" w:eastAsia="es-ES"/>
              </w:rPr>
              <w:t>DEPENDENCIA</w:t>
            </w:r>
          </w:p>
        </w:tc>
        <w:tc>
          <w:tcPr>
            <w:tcW w:w="817" w:type="pct"/>
            <w:shd w:val="clear" w:color="auto" w:fill="D9E2F3" w:themeFill="accent1" w:themeFillTint="33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s-ES_tradnl" w:eastAsia="es-ES"/>
              </w:rPr>
            </w:pPr>
            <w:r w:rsidRPr="009505C1">
              <w:rPr>
                <w:rFonts w:ascii="Times New Roman" w:hAnsi="Times New Roman"/>
                <w:b/>
                <w:lang w:val="es-ES_tradnl" w:eastAsia="es-ES"/>
              </w:rPr>
              <w:t>PROCESO</w:t>
            </w:r>
          </w:p>
        </w:tc>
        <w:tc>
          <w:tcPr>
            <w:tcW w:w="1201" w:type="pct"/>
            <w:shd w:val="clear" w:color="auto" w:fill="D9E2F3" w:themeFill="accent1" w:themeFillTint="33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s-ES_tradnl" w:eastAsia="es-ES"/>
              </w:rPr>
            </w:pPr>
            <w:r w:rsidRPr="009505C1">
              <w:rPr>
                <w:rFonts w:ascii="Times New Roman" w:hAnsi="Times New Roman"/>
                <w:b/>
                <w:lang w:val="es-ES_tradnl" w:eastAsia="es-ES"/>
              </w:rPr>
              <w:t>PROCEDIMIENTO</w:t>
            </w:r>
          </w:p>
        </w:tc>
        <w:tc>
          <w:tcPr>
            <w:tcW w:w="327" w:type="pct"/>
            <w:shd w:val="clear" w:color="auto" w:fill="D9E2F3" w:themeFill="accent1" w:themeFillTint="33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s-ES_tradnl" w:eastAsia="es-ES"/>
              </w:rPr>
            </w:pPr>
            <w:r w:rsidRPr="009505C1">
              <w:rPr>
                <w:rFonts w:ascii="Times New Roman" w:hAnsi="Times New Roman"/>
                <w:b/>
                <w:lang w:val="es-ES_tradnl" w:eastAsia="es-ES"/>
              </w:rPr>
              <w:t>1</w:t>
            </w:r>
          </w:p>
        </w:tc>
        <w:tc>
          <w:tcPr>
            <w:tcW w:w="272" w:type="pct"/>
            <w:shd w:val="clear" w:color="auto" w:fill="D9E2F3" w:themeFill="accent1" w:themeFillTint="33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s-ES_tradnl" w:eastAsia="es-ES"/>
              </w:rPr>
            </w:pPr>
            <w:r w:rsidRPr="009505C1">
              <w:rPr>
                <w:rFonts w:ascii="Times New Roman" w:hAnsi="Times New Roman"/>
                <w:b/>
                <w:lang w:val="es-ES_tradnl" w:eastAsia="es-ES"/>
              </w:rPr>
              <w:t>2</w:t>
            </w:r>
          </w:p>
        </w:tc>
        <w:tc>
          <w:tcPr>
            <w:tcW w:w="272" w:type="pct"/>
            <w:shd w:val="clear" w:color="auto" w:fill="D9E2F3" w:themeFill="accent1" w:themeFillTint="33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s-ES_tradnl" w:eastAsia="es-ES"/>
              </w:rPr>
            </w:pPr>
            <w:r w:rsidRPr="009505C1">
              <w:rPr>
                <w:rFonts w:ascii="Times New Roman" w:hAnsi="Times New Roman"/>
                <w:b/>
                <w:lang w:val="es-ES_tradnl" w:eastAsia="es-ES"/>
              </w:rPr>
              <w:t>3</w:t>
            </w:r>
          </w:p>
        </w:tc>
        <w:tc>
          <w:tcPr>
            <w:tcW w:w="1293" w:type="pct"/>
            <w:shd w:val="clear" w:color="auto" w:fill="D9E2F3" w:themeFill="accent1" w:themeFillTint="33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s-ES_tradnl" w:eastAsia="es-ES"/>
              </w:rPr>
            </w:pPr>
            <w:r w:rsidRPr="009505C1">
              <w:rPr>
                <w:rFonts w:ascii="Times New Roman" w:hAnsi="Times New Roman"/>
                <w:b/>
                <w:lang w:val="es-ES_tradnl" w:eastAsia="es-ES"/>
              </w:rPr>
              <w:t>OBSERVACIONES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 w:val="restar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DIRE</w:t>
            </w:r>
            <w:r w:rsidRPr="009505C1">
              <w:rPr>
                <w:rFonts w:ascii="Times New Roman" w:hAnsi="Times New Roman"/>
                <w:color w:val="000000"/>
              </w:rPr>
              <w:t>ECCIÓN GENERAL</w:t>
            </w:r>
          </w:p>
        </w:tc>
        <w:tc>
          <w:tcPr>
            <w:tcW w:w="817" w:type="pct"/>
            <w:vMerge w:val="restar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DIRECCIÓN</w:t>
            </w: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Plan Operativo de Inversiones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Formulación Plan Estratégico Institucional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Formulación Planes de Acción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Divulgación e Información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Podría ser integrado con los de comunicación institucional y comunicaciones oficiales.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Monitoreo de Medios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Revisión por la Dirección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Producto No Conforme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Acciones Correctivas y Preventivas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Mejora Continua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Comunicación Institucional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Podría ser integrado con los de divulgación e información y comunicaciones oficiales.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Comunicaciones Oficiales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Podría ser integrado con los de divulgación e información y comunicaciones institucionales.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Peticiones, Quejas y Reclamos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 xml:space="preserve">Se debe incorporar a este procedimiento los lineamientos de atención al ciudadano y los aspectos </w:t>
            </w:r>
            <w:r w:rsidRPr="009505C1">
              <w:rPr>
                <w:rFonts w:ascii="Times New Roman" w:hAnsi="Times New Roman"/>
                <w:color w:val="000000"/>
              </w:rPr>
              <w:lastRenderedPageBreak/>
              <w:t>relacionados del modelo integrado de planeación y gestión.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Ordenación del Gasto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Control Disciplinario Ordinario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 no existe la oficina de Control Interno Disciplinario la responsabilidad del desarrollo de este procedimiento debe estar a cargo de un grupo interno de trabajo conformado formalmente como lo dispone la circular conjunta de la procuraduría y función pública.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 w:val="restar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CONTROL INTERNO</w:t>
            </w: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Actualización del Manual de Procedimientos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Desarrollo de Auditorías Internas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Control Documentos Internos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 w:val="restar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Podrían ser integrados definiendo lineamientos e</w:t>
            </w:r>
            <w:r>
              <w:rPr>
                <w:rFonts w:ascii="Times New Roman" w:hAnsi="Times New Roman"/>
                <w:color w:val="000000"/>
              </w:rPr>
              <w:t>hh</w:t>
            </w:r>
            <w:r w:rsidRPr="009505C1">
              <w:rPr>
                <w:rFonts w:ascii="Times New Roman" w:hAnsi="Times New Roman"/>
                <w:color w:val="000000"/>
              </w:rPr>
              <w:t>n cada caso.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Control de Documentos Externos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Control de Registros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Identificación del Mapa De Riesgos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Evaluación del Sistema de Control Interno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Monitoreo y Control de Planes de Mejoramiento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 w:val="restar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El monitoreo a los planes podría ser incorporado a los procedimientos de formulación como una etapa más del proceso.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Monitoreo y Evaluación del Mapa de Riesgos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Convocatoria Comité de Control Interno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 xml:space="preserve">Sistema Integrado de Gestión de Calidad </w:t>
            </w:r>
            <w:r>
              <w:rPr>
                <w:rFonts w:ascii="Times New Roman" w:hAnsi="Times New Roman"/>
                <w:color w:val="000000"/>
              </w:rPr>
              <w:t>–</w:t>
            </w:r>
            <w:r w:rsidRPr="009505C1">
              <w:rPr>
                <w:rFonts w:ascii="Times New Roman" w:hAnsi="Times New Roman"/>
                <w:color w:val="000000"/>
              </w:rPr>
              <w:t xml:space="preserve"> MECI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Debe ser actualizado según lo dispuesto en el modelo integrado de planeación y gestión.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 xml:space="preserve">Auditoría al SIGC </w:t>
            </w:r>
            <w:r>
              <w:rPr>
                <w:rFonts w:ascii="Times New Roman" w:hAnsi="Times New Roman"/>
                <w:color w:val="000000"/>
              </w:rPr>
              <w:t>–</w:t>
            </w:r>
            <w:r w:rsidRPr="009505C1">
              <w:rPr>
                <w:rFonts w:ascii="Times New Roman" w:hAnsi="Times New Roman"/>
                <w:color w:val="000000"/>
              </w:rPr>
              <w:t xml:space="preserve"> MECI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Debe ser actualizado según lo dispuesto en el modelo integrado de planeación y gestión.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Diseño y Seguimiento a Indicadores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Plan Anticorrupción y Atención al Ciudadano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Se debe actualizar según los nuevos lineamientos en cuanto al MIPG y fortalecimiento de las TIC.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Informe Pormenorizado de Control Interno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 w:val="restar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SECRETARÍA GENERAL Y ADMINISTRATIVA</w:t>
            </w:r>
          </w:p>
        </w:tc>
        <w:tc>
          <w:tcPr>
            <w:tcW w:w="817" w:type="pct"/>
            <w:vMerge w:val="restar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ÁREA JURÍDICA</w:t>
            </w: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Proyección de la Contratación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Contratación Directa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 w:val="restar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Se podría simplificar en un procedimiento general de contratación donde se incorporen las requerimientos y actividades para el desarrollo de cada una de las formas de contratación.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Selección Abreviada de Menor Cuantía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Selección de Licitación Pública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Selección por Concurso de Méritos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Demanda de Declaración de Pertenencia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 w:val="restar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Se debe analizar la posibilidad de integrarlos en uno sólo y revisar que estén acordes a la normatividad vigente.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Demanda de Restitución de Inmueble Arrendado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Demanda Reivindicatoria de Bienes Fiscales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Querellas de Restitución del Espacio Público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Representación y Defensa Judicial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Soporte o Asesoría Jurídica a Dependencias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Eliminar, es más una actividad o función del área que un procedimiento ya que no se podrían describir todos los casos y como dar respuesta a cada uno de ellos.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Proyección de Acuerdos Necesarios para la Reglamentación de Algunas Funciones del BIF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 w:val="restar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Se deben incorporar al procedimiento que le corresponda ya que son actividades no procedimientos como tal.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Depuración de Beneficiarios Subsidios de Vivienda por No Cumplir Requisitos de Ley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Proyección de Respuesta a Derechos de Petición que Competan al Área Jurídica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 w:val="restar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Eliminar, estas son funciones que deben ser asignadas en el manual de funciones.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Asistencia a Actos o Reuniones por Delegación de la Dirección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Elaboración de Proyectos de Acuerdo para Declaración de Inmuebles Como de Utilidad Pública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Se sugiere sea incorporado al procedimiento relacionado con la declaración de inmuebles como de utilidad pública y verificar que este ajustado con lo dispuesto por la ley y normatividad vigente.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 w:val="restar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ÁREA TÉCNICA</w:t>
            </w:r>
          </w:p>
        </w:tc>
        <w:tc>
          <w:tcPr>
            <w:tcW w:w="817" w:type="pct"/>
            <w:vMerge w:val="restar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ÁREA TÉCNICA</w:t>
            </w: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Trámite Solicitud Certificado Actividad Inmobiliaria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Entrega Áreas de Cesión Tipo 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Permisos para Uso del Espacio Público Temporales, Parques, Vías, Zonas Verdes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Certificaciones de Propiedad de los Predios del Municipio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Gestión Territorial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Gestión Vivienda Interés Social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Proyectos de Vivienda Interés Social Urbana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Procedimiento para Postulación de Proyectos de Vivienda de Interés Social Urbana (Construcción en Sitio Propio, Mejoramiento)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Postulación para Subsidios de Mejoramiento de Vivienda Rural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Procedimiento para Postulación de Proyectos de Vivienda de Interés Social Rural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Entrega Material de la Vivienda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Restitución del Subsidio Solicitado por Renuncia del Beneficiario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Legalización de Entrega de Predios Municipales en el Sector Rural y Urbano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Administración de Inventarios de Inmuebles Municipales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Se sugiere integrar con el procedimiento de Inventario de Mobiliario Urbano del Municipio.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Sanción Actividad Inmobiliaria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Control Inmobiliario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 xml:space="preserve">Postulación para Subsidios Municipales Complementarios </w:t>
            </w:r>
            <w:r w:rsidRPr="009505C1">
              <w:rPr>
                <w:rFonts w:ascii="Times New Roman" w:hAnsi="Times New Roman"/>
                <w:color w:val="000000"/>
              </w:rPr>
              <w:lastRenderedPageBreak/>
              <w:t>para Víctimas del Desplazamiento Forzado de Vivienda a Población Desplazada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lastRenderedPageBreak/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Certificaciones de Habitabilidad VIS y VIP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Procedimiento Archivo y Custodia de Escrituras Públicas (Resoluciones) de Predios de Propiedad del Municipio de Floridablanca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Delineamiento Urbano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Multas y Sanciones Urbanísticas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Inventario de Mobiliario Urbano del Municipio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Se sugiere integrar con el procedimiento de Administración de Inventarios de Inmuebles Municipales.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Gestión de Proyectos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Recuperación de Predios Invadidos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Gestión pre Contractual de Administración,</w:t>
            </w:r>
            <w:r w:rsidRPr="009505C1">
              <w:rPr>
                <w:rFonts w:ascii="Times New Roman" w:hAnsi="Times New Roman"/>
                <w:color w:val="000000"/>
              </w:rPr>
              <w:br/>
              <w:t>Mantenimiento y Aprovechamiento del Espacio Público y Arrendamiento de Inmuebles Públicos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Realización de Estudios Previos Contratos de Comodato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Compra de Predios para el Municipio de Floridablanca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 w:val="restar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lastRenderedPageBreak/>
              <w:t>SECRETARÍA GENERAL Y ADMINISTRATIVA</w:t>
            </w:r>
          </w:p>
        </w:tc>
        <w:tc>
          <w:tcPr>
            <w:tcW w:w="817" w:type="pct"/>
            <w:vMerge w:val="restar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ÁREA ADMINISTRATIVA Y FINANCIERA</w:t>
            </w: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Expedición del Certificado Laboral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Solicitud de Permiso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Licencia Ordinaria o No Remunerada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Encargo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Avance de Viáticos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Retiro del Servicio y/o de un Servidor Público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Afiliación Salud, Pensión, Cesantías, Caja De Compensación Familiar y ARP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Aplicación de Embargos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Inducción de Personal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Ingreso a la Carrera Administrativa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Licencia Remunerada por Enfermedad o Maternidad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Nómina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Planes de Bienestar Social, Capacitación y Salud Ocupacional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Selección, Vinculación y Permanencia de un Servidor Público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Vacaciones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Liquidación Prestaciones Sociales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Inventario de Bienes en Servicio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Recibo de Elementos por los Funcionarios Del BIF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Ingreso de Elementos por Compra de Bienes Devolutivos y Bienes de Consumo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Ingreso de Bienes por Donación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Ingreso de Bienes por traspaso de Otras Entidades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Ingreso de Bienes por Reposición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Ingreso de Bienes por Sobrantes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Ingreso de Bienes Faltantes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Ingreso de los Bienes a las Pólizas de Seguro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Ingreso de Bienes en Préstamo o Comodato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Baja por Pérdida de Bienes o por Hurto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Baja de Bienes por Caso Fortuito o Fuerza Mayor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Baja de Bienes Inservibles o Innecesarios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Comercialización de Bienes Devolutivos Dados de Baja Innecesarios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Venta de Bienes Mediante Contratación Directa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Venta de Bienes Mediante Subasta Pública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Certificado de Disponibilidad Presupuestal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Conciliaciones Bancarias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Contabilización de Egresos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Comprobante de Ingreso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Órdenes de Pago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Pago de Cuentas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Presupuesto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Plan Anual Mensualizado de Caja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Registro Presupuestal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Saldar RPS y CDPS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Tesorería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Traslados Presupuestales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Apertura de Cuentas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Legalización Caja Menor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Legalización de Avances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Procedimiento de Contabilidad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Elaboración de los Estados Contables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MECICO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Se sugiere incorporara este procedimiento al proceso que tiene relación con control interno.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Administración de la Página Web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Soporte Técnico e Infraestructura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  <w:tr w:rsidR="007307F4" w:rsidRPr="009505C1" w:rsidTr="00A01DB5">
        <w:trPr>
          <w:trHeight w:val="454"/>
        </w:trPr>
        <w:tc>
          <w:tcPr>
            <w:tcW w:w="817" w:type="pct"/>
            <w:vMerge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7" w:type="pct"/>
            <w:vMerge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1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Administrar los Archivos de Gestión, Central e Histórico del BIF</w:t>
            </w:r>
          </w:p>
        </w:tc>
        <w:tc>
          <w:tcPr>
            <w:tcW w:w="327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SI</w:t>
            </w:r>
          </w:p>
        </w:tc>
        <w:tc>
          <w:tcPr>
            <w:tcW w:w="272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05C1">
              <w:rPr>
                <w:rFonts w:ascii="Times New Roman" w:hAnsi="Times New Roman"/>
                <w:color w:val="000000"/>
              </w:rPr>
              <w:t>NO</w:t>
            </w:r>
          </w:p>
        </w:tc>
        <w:tc>
          <w:tcPr>
            <w:tcW w:w="1293" w:type="pct"/>
            <w:vAlign w:val="center"/>
          </w:tcPr>
          <w:p w:rsidR="007307F4" w:rsidRPr="009505C1" w:rsidRDefault="007307F4" w:rsidP="00A01D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505C1">
              <w:rPr>
                <w:rFonts w:ascii="Times New Roman" w:hAnsi="Times New Roman"/>
                <w:color w:val="000000"/>
              </w:rPr>
              <w:t>Mantener</w:t>
            </w:r>
          </w:p>
        </w:tc>
      </w:tr>
    </w:tbl>
    <w:p w:rsidR="007307F4" w:rsidRDefault="007307F4">
      <w:bookmarkStart w:id="1" w:name="_GoBack"/>
      <w:bookmarkEnd w:id="1"/>
    </w:p>
    <w:sectPr w:rsidR="007307F4" w:rsidSect="007307F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7F4"/>
    <w:rsid w:val="007307F4"/>
    <w:rsid w:val="00B2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2AC92"/>
  <w15:chartTrackingRefBased/>
  <w15:docId w15:val="{8B85F529-C71D-4EB4-A8D5-786BD41AD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07F4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aliases w:val="Epígrafe Car"/>
    <w:basedOn w:val="Normal"/>
    <w:next w:val="Normal"/>
    <w:uiPriority w:val="35"/>
    <w:unhideWhenUsed/>
    <w:qFormat/>
    <w:rsid w:val="007307F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7307F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307F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1541</Words>
  <Characters>8478</Characters>
  <Application>Microsoft Office Word</Application>
  <DocSecurity>0</DocSecurity>
  <Lines>70</Lines>
  <Paragraphs>19</Paragraphs>
  <ScaleCrop>false</ScaleCrop>
  <Company/>
  <LinksUpToDate>false</LinksUpToDate>
  <CharactersWithSpaces>10000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mercedes gaona torres</dc:creator>
  <cp:keywords/>
  <dc:description/>
  <cp:lastModifiedBy>mercedes gaona torres</cp:lastModifiedBy>
  <cp:revision>1</cp:revision>
  <dcterms:created xsi:type="dcterms:W3CDTF">2018-12-01T00:21:00Z</dcterms:created>
  <dcterms:modified xsi:type="dcterms:W3CDTF">2018-12-01T00:23:00Z</dcterms:modified>
</cp:coreProperties>
</file>